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Intelligent Technologies rozwija infrastrukturę sieciową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Intelligent Technologies S.A., jako część Omega Group, konsekwentnie modernizuje swoją infrastrukturę telekomunikacyjną.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szkielet sieci został w 100% oparty na technologiach </w:t>
      </w:r>
      <w:r>
        <w:rPr>
          <w:rFonts w:ascii="calibri" w:hAnsi="calibri" w:eastAsia="calibri" w:cs="calibri"/>
          <w:sz w:val="24"/>
          <w:szCs w:val="24"/>
          <w:b/>
        </w:rPr>
        <w:t xml:space="preserve">MPLS/EVPN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Segment Routing</w:t>
      </w:r>
      <w:r>
        <w:rPr>
          <w:rFonts w:ascii="calibri" w:hAnsi="calibri" w:eastAsia="calibri" w:cs="calibri"/>
          <w:sz w:val="24"/>
          <w:szCs w:val="24"/>
        </w:rPr>
        <w:t xml:space="preserve">, co pozwala na efektywne sterowanie ruchem, elastyczne definiowanie ścieżek transmisji i obsługę ruchu </w:t>
      </w:r>
      <w:r>
        <w:rPr>
          <w:rFonts w:ascii="calibri" w:hAnsi="calibri" w:eastAsia="calibri" w:cs="calibri"/>
          <w:sz w:val="24"/>
          <w:szCs w:val="24"/>
          <w:b/>
        </w:rPr>
        <w:t xml:space="preserve">100G+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rozbudowy zwiększono przepustowość punktów styku z operatorami klasy </w:t>
      </w:r>
      <w:r>
        <w:rPr>
          <w:rFonts w:ascii="calibri" w:hAnsi="calibri" w:eastAsia="calibri" w:cs="calibri"/>
          <w:sz w:val="24"/>
          <w:szCs w:val="24"/>
          <w:b/>
        </w:rPr>
        <w:t xml:space="preserve">Tier 1</w:t>
      </w:r>
      <w:r>
        <w:rPr>
          <w:rFonts w:ascii="calibri" w:hAnsi="calibri" w:eastAsia="calibri" w:cs="calibri"/>
          <w:sz w:val="24"/>
          <w:szCs w:val="24"/>
        </w:rPr>
        <w:t xml:space="preserve"> – obecnie połączenia z </w:t>
      </w:r>
      <w:r>
        <w:rPr>
          <w:rFonts w:ascii="calibri" w:hAnsi="calibri" w:eastAsia="calibri" w:cs="calibri"/>
          <w:sz w:val="24"/>
          <w:szCs w:val="24"/>
          <w:b/>
        </w:rPr>
        <w:t xml:space="preserve">Arelion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PCCW Global</w:t>
      </w:r>
      <w:r>
        <w:rPr>
          <w:rFonts w:ascii="calibri" w:hAnsi="calibri" w:eastAsia="calibri" w:cs="calibri"/>
          <w:sz w:val="24"/>
          <w:szCs w:val="24"/>
        </w:rPr>
        <w:t xml:space="preserve"> działają w technologii </w:t>
      </w:r>
      <w:r>
        <w:rPr>
          <w:rFonts w:ascii="calibri" w:hAnsi="calibri" w:eastAsia="calibri" w:cs="calibri"/>
          <w:sz w:val="24"/>
          <w:szCs w:val="24"/>
          <w:b/>
        </w:rPr>
        <w:t xml:space="preserve">100 Gb/s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Powstał również nowy punkt styku z </w:t>
      </w:r>
      <w:r>
        <w:rPr>
          <w:rFonts w:ascii="calibri" w:hAnsi="calibri" w:eastAsia="calibri" w:cs="calibri"/>
          <w:sz w:val="24"/>
          <w:szCs w:val="24"/>
          <w:b/>
        </w:rPr>
        <w:t xml:space="preserve">ORANGE</w:t>
      </w:r>
      <w:r>
        <w:rPr>
          <w:rFonts w:ascii="calibri" w:hAnsi="calibri" w:eastAsia="calibri" w:cs="calibri"/>
          <w:sz w:val="24"/>
          <w:szCs w:val="24"/>
        </w:rPr>
        <w:t xml:space="preserve">, oparty o technologię </w:t>
      </w:r>
      <w:r>
        <w:rPr>
          <w:rFonts w:ascii="calibri" w:hAnsi="calibri" w:eastAsia="calibri" w:cs="calibri"/>
          <w:sz w:val="24"/>
          <w:szCs w:val="24"/>
          <w:b/>
        </w:rPr>
        <w:t xml:space="preserve">MC-LAG</w:t>
      </w:r>
      <w:r>
        <w:rPr>
          <w:rFonts w:ascii="calibri" w:hAnsi="calibri" w:eastAsia="calibri" w:cs="calibri"/>
          <w:sz w:val="24"/>
          <w:szCs w:val="24"/>
        </w:rPr>
        <w:t xml:space="preserve">, zapewniającą pełną redundancję, równoważenie obciążenia i bezprzerwowe przełączenie ruchu.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Infrastruktura wspierana przez nowoczesne </w:t>
      </w:r>
      <w:r>
        <w:rPr>
          <w:rFonts w:ascii="calibri" w:hAnsi="calibri" w:eastAsia="calibri" w:cs="calibri"/>
          <w:sz w:val="24"/>
          <w:szCs w:val="24"/>
          <w:b/>
        </w:rPr>
        <w:t xml:space="preserve">Scrubbing Center</w:t>
      </w:r>
      <w:r>
        <w:rPr>
          <w:rFonts w:ascii="calibri" w:hAnsi="calibri" w:eastAsia="calibri" w:cs="calibri"/>
          <w:sz w:val="24"/>
          <w:szCs w:val="24"/>
        </w:rPr>
        <w:t xml:space="preserve"> zapewnia wyższy poziom bezpieczeństwa, stabilności i odporności na zagrożenia.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„Modernizacja szkieletu sieci i punktów styku to kolejny krok w kierunku jeszcze wyższej jakości i niezawodności usług”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Paweł Konofał, Head of Trust Core Network w Intelligent Technologies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2026-09-05T10:30:15+02:00</dcterms:created>
  <dcterms:modified xsi:type="dcterms:W3CDTF">2026-09-05T10:30:15+02:00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